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C400D" w14:textId="77777777" w:rsidR="00DA30F5" w:rsidRPr="00DA30F5" w:rsidRDefault="00DA30F5" w:rsidP="00DA30F5">
      <w:pPr>
        <w:keepNext/>
        <w:keepLines/>
        <w:pageBreakBefore/>
        <w:spacing w:after="260" w:line="240" w:lineRule="auto"/>
        <w:outlineLvl w:val="0"/>
        <w:rPr>
          <w:rFonts w:ascii="Arial" w:eastAsiaTheme="majorEastAsia" w:hAnsi="Arial" w:cstheme="majorBidi"/>
          <w:b/>
          <w:bCs/>
          <w:color w:val="5B9BD5" w:themeColor="accent1"/>
          <w:spacing w:val="22"/>
          <w:sz w:val="28"/>
          <w:szCs w:val="32"/>
        </w:rPr>
      </w:pPr>
      <w:r w:rsidRPr="00DA30F5">
        <w:rPr>
          <w:rFonts w:ascii="Arial" w:eastAsiaTheme="majorEastAsia" w:hAnsi="Arial" w:cstheme="majorBidi"/>
          <w:b/>
          <w:bCs/>
          <w:color w:val="5B9BD5" w:themeColor="accent1"/>
          <w:spacing w:val="22"/>
          <w:sz w:val="28"/>
          <w:szCs w:val="32"/>
        </w:rPr>
        <w:t>Letter of intent</w:t>
      </w:r>
    </w:p>
    <w:p w14:paraId="23AE76A8" w14:textId="5AE57F21" w:rsidR="001F3294" w:rsidRDefault="00DA30F5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246052">
        <w:rPr>
          <w:rFonts w:ascii="Arial" w:eastAsia="Times New Roman" w:hAnsi="Arial" w:cs="Times New Roman"/>
          <w:sz w:val="20"/>
          <w:szCs w:val="24"/>
        </w:rPr>
        <w:t>Elke deelnemende instelling</w:t>
      </w:r>
      <w:r w:rsidR="001F3294" w:rsidRPr="00246052">
        <w:rPr>
          <w:rFonts w:ascii="Arial" w:eastAsia="Times New Roman" w:hAnsi="Arial" w:cs="Times New Roman"/>
          <w:sz w:val="20"/>
          <w:szCs w:val="24"/>
        </w:rPr>
        <w:t xml:space="preserve"> of </w:t>
      </w:r>
      <w:r w:rsidR="00246052" w:rsidRPr="00246052">
        <w:rPr>
          <w:rFonts w:ascii="Arial" w:eastAsia="Times New Roman" w:hAnsi="Arial" w:cs="Times New Roman"/>
          <w:sz w:val="20"/>
          <w:szCs w:val="24"/>
        </w:rPr>
        <w:t xml:space="preserve">penvoerende instelling gemachtigd door de </w:t>
      </w:r>
      <w:r w:rsidR="001F3294" w:rsidRPr="00246052">
        <w:rPr>
          <w:rFonts w:ascii="Arial" w:eastAsia="Times New Roman" w:hAnsi="Arial" w:cs="Times New Roman"/>
          <w:sz w:val="20"/>
          <w:szCs w:val="24"/>
        </w:rPr>
        <w:t>vakcommunity</w:t>
      </w:r>
      <w:r w:rsidR="00246052" w:rsidRPr="00246052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246052">
        <w:rPr>
          <w:rFonts w:ascii="Arial" w:eastAsia="Times New Roman" w:hAnsi="Arial" w:cs="Times New Roman"/>
          <w:sz w:val="20"/>
          <w:szCs w:val="24"/>
        </w:rPr>
        <w:t>dient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door middel van een letter of intent aan te tonen </w:t>
      </w:r>
      <w:r w:rsidRPr="001F3294">
        <w:rPr>
          <w:rFonts w:ascii="Arial" w:eastAsia="Times New Roman" w:hAnsi="Arial" w:cs="Times New Roman"/>
          <w:sz w:val="20"/>
          <w:szCs w:val="24"/>
        </w:rPr>
        <w:t xml:space="preserve">dat </w:t>
      </w:r>
      <w:r w:rsidR="00D81FB1" w:rsidRPr="001F3294">
        <w:rPr>
          <w:rFonts w:ascii="Arial" w:eastAsia="Times New Roman" w:hAnsi="Arial" w:cs="Times New Roman"/>
          <w:sz w:val="20"/>
          <w:szCs w:val="24"/>
        </w:rPr>
        <w:t xml:space="preserve">minimaal de betrokken leidinggevende (bv Opleidings- of Faculteitsdirecteur) van de contactpersonen of </w:t>
      </w:r>
      <w:r w:rsidRPr="001F3294">
        <w:rPr>
          <w:rFonts w:ascii="Arial" w:eastAsia="Times New Roman" w:hAnsi="Arial" w:cs="Times New Roman"/>
          <w:sz w:val="20"/>
          <w:szCs w:val="24"/>
        </w:rPr>
        <w:t>het College van Bestuur</w:t>
      </w:r>
      <w:r w:rsidR="00D81FB1" w:rsidRPr="001F3294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1F3294">
        <w:rPr>
          <w:rFonts w:ascii="Arial" w:eastAsia="Times New Roman" w:hAnsi="Arial" w:cs="Times New Roman"/>
          <w:sz w:val="20"/>
          <w:szCs w:val="24"/>
        </w:rPr>
        <w:t>op de hoogte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is van de </w:t>
      </w:r>
      <w:r w:rsidR="00D81FB1">
        <w:rPr>
          <w:rFonts w:ascii="Arial" w:eastAsia="Times New Roman" w:hAnsi="Arial" w:cs="Times New Roman"/>
          <w:sz w:val="20"/>
          <w:szCs w:val="24"/>
        </w:rPr>
        <w:t>aanmelding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en deze steunt.</w:t>
      </w:r>
      <w:r w:rsidR="00D81FB1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41D880E4" w14:textId="28EB5527" w:rsidR="00942652" w:rsidRDefault="00942652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</w:rPr>
        <w:t>In het gev</w:t>
      </w:r>
      <w:r>
        <w:rPr>
          <w:rFonts w:ascii="Arial" w:eastAsia="Times New Roman" w:hAnsi="Arial" w:cs="Times New Roman"/>
          <w:sz w:val="20"/>
          <w:szCs w:val="24"/>
        </w:rPr>
        <w:t>al van een samenwerkingsproject (vakcommunity) dient de penvoerende instelling gemachtigd te zijn door de partnerinstellingen om de vakcommunity in het kader van dit project te vertegenwoordigen</w:t>
      </w:r>
      <w:r>
        <w:rPr>
          <w:rFonts w:ascii="Arial" w:eastAsia="Times New Roman" w:hAnsi="Arial" w:cs="Times New Roman"/>
          <w:sz w:val="20"/>
          <w:szCs w:val="24"/>
        </w:rPr>
        <w:t>.</w:t>
      </w:r>
    </w:p>
    <w:p w14:paraId="254673B4" w14:textId="1DF7ADF0" w:rsidR="00D81FB1" w:rsidRDefault="00D81FB1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Tijdens het </w:t>
      </w:r>
      <w:r w:rsidRPr="001F3294">
        <w:rPr>
          <w:rFonts w:ascii="Arial" w:eastAsia="Times New Roman" w:hAnsi="Arial" w:cs="Times New Roman"/>
          <w:b/>
          <w:sz w:val="20"/>
          <w:szCs w:val="24"/>
        </w:rPr>
        <w:t>intakegesprek</w:t>
      </w:r>
      <w:r>
        <w:rPr>
          <w:rFonts w:ascii="Arial" w:eastAsia="Times New Roman" w:hAnsi="Arial" w:cs="Times New Roman"/>
          <w:sz w:val="20"/>
          <w:szCs w:val="24"/>
        </w:rPr>
        <w:t xml:space="preserve"> wordt afgestemd wie deze intentieverklaring tekent vanuit de deelnemende instelling.</w:t>
      </w:r>
    </w:p>
    <w:p w14:paraId="49558D96" w14:textId="77777777" w:rsidR="00642D8D" w:rsidRPr="00DA30F5" w:rsidRDefault="00642D8D" w:rsidP="00642D8D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</w:rPr>
        <w:t>De onderstaande brief kan als voorbeeld dienen.</w:t>
      </w:r>
    </w:p>
    <w:p w14:paraId="4914E766" w14:textId="062BEAAC" w:rsidR="00246052" w:rsidRDefault="00246052" w:rsidP="00246052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------</w:t>
      </w:r>
    </w:p>
    <w:p w14:paraId="46C2F3C4" w14:textId="77777777" w:rsidR="00642D8D" w:rsidRDefault="00642D8D" w:rsidP="00246052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77B80C05" w14:textId="4E7A595C" w:rsidR="00246052" w:rsidRDefault="00246052" w:rsidP="00246052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246052">
        <w:rPr>
          <w:rFonts w:ascii="Arial" w:eastAsia="Times New Roman" w:hAnsi="Arial" w:cs="Times New Roman"/>
          <w:sz w:val="20"/>
          <w:szCs w:val="24"/>
        </w:rPr>
        <w:t xml:space="preserve">Versnellingszone Naar (open) digitale leermaterialen </w:t>
      </w:r>
    </w:p>
    <w:p w14:paraId="049D384C" w14:textId="77777777" w:rsidR="00246052" w:rsidRDefault="00246052" w:rsidP="00246052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246052">
        <w:rPr>
          <w:rFonts w:ascii="Arial" w:eastAsia="Times New Roman" w:hAnsi="Arial" w:cs="Times New Roman"/>
          <w:sz w:val="20"/>
          <w:szCs w:val="24"/>
        </w:rPr>
        <w:t xml:space="preserve">t.a.v. Lieke Rensink / Jenny de Werk </w:t>
      </w:r>
    </w:p>
    <w:p w14:paraId="6B1F1A4F" w14:textId="77777777" w:rsidR="00246052" w:rsidRDefault="00246052" w:rsidP="00246052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246052">
        <w:rPr>
          <w:rFonts w:ascii="Arial" w:eastAsia="Times New Roman" w:hAnsi="Arial" w:cs="Times New Roman"/>
          <w:sz w:val="20"/>
          <w:szCs w:val="24"/>
        </w:rPr>
        <w:t xml:space="preserve">Postbus 19035 </w:t>
      </w:r>
    </w:p>
    <w:p w14:paraId="5541F887" w14:textId="29D4FDF3" w:rsidR="00246052" w:rsidRPr="00246052" w:rsidRDefault="00246052" w:rsidP="00246052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246052">
        <w:rPr>
          <w:rFonts w:ascii="Arial" w:eastAsia="Times New Roman" w:hAnsi="Arial" w:cs="Times New Roman"/>
          <w:sz w:val="20"/>
          <w:szCs w:val="24"/>
        </w:rPr>
        <w:t xml:space="preserve">3501 DA Utrecht </w:t>
      </w:r>
    </w:p>
    <w:p w14:paraId="3DEC2239" w14:textId="77777777" w:rsidR="00246052" w:rsidRDefault="00246052" w:rsidP="00DA30F5">
      <w:pPr>
        <w:spacing w:after="260" w:line="260" w:lineRule="atLeast"/>
        <w:rPr>
          <w:rFonts w:ascii="Arial" w:eastAsia="Calibri" w:hAnsi="Arial" w:cs="Arial"/>
          <w:noProof/>
          <w:sz w:val="18"/>
          <w:szCs w:val="18"/>
          <w:lang w:eastAsia="nl-NL"/>
        </w:rPr>
      </w:pPr>
    </w:p>
    <w:p w14:paraId="3457FF85" w14:textId="75D9C1C9" w:rsidR="00DA30F5" w:rsidRPr="00DA30F5" w:rsidRDefault="00DA30F5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>&lt;Plaats&gt;,&lt; Datum&gt;</w:t>
      </w:r>
    </w:p>
    <w:p w14:paraId="69FB1D28" w14:textId="77777777" w:rsidR="00246052" w:rsidRDefault="00DA30F5" w:rsidP="002A5FEA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</w:rPr>
        <w:t xml:space="preserve">Betreft: Letter of intent; project </w:t>
      </w: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>“&lt;Projectnaam&gt;”</w:t>
      </w:r>
    </w:p>
    <w:p w14:paraId="663E5463" w14:textId="2754B3C0" w:rsidR="00DA30F5" w:rsidRPr="00D81FB1" w:rsidRDefault="00DA30F5" w:rsidP="002A5FEA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</w:rPr>
        <w:br/>
      </w:r>
      <w:r w:rsidR="002A5FEA">
        <w:rPr>
          <w:rFonts w:ascii="Arial" w:eastAsia="Times New Roman" w:hAnsi="Arial" w:cs="Times New Roman"/>
          <w:sz w:val="20"/>
          <w:szCs w:val="24"/>
        </w:rPr>
        <w:t xml:space="preserve">Hierbij verklaart </w:t>
      </w:r>
      <w:r w:rsidR="002A5FEA" w:rsidRPr="002A5FEA">
        <w:rPr>
          <w:rFonts w:ascii="Arial" w:eastAsia="Times New Roman" w:hAnsi="Arial" w:cs="Times New Roman"/>
          <w:sz w:val="20"/>
          <w:szCs w:val="24"/>
          <w:highlight w:val="yellow"/>
        </w:rPr>
        <w:t>&lt;naam &amp; functie&gt;</w:t>
      </w:r>
      <w:r w:rsidR="002A5FEA">
        <w:rPr>
          <w:rFonts w:ascii="Arial" w:eastAsia="Times New Roman" w:hAnsi="Arial" w:cs="Times New Roman"/>
          <w:sz w:val="20"/>
          <w:szCs w:val="24"/>
        </w:rPr>
        <w:t xml:space="preserve"> van 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>&lt;Instellingsnaam&gt;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2A5FEA">
        <w:rPr>
          <w:rFonts w:ascii="Arial" w:eastAsia="Times New Roman" w:hAnsi="Arial" w:cs="Times New Roman"/>
          <w:sz w:val="20"/>
          <w:szCs w:val="24"/>
        </w:rPr>
        <w:t>dat er is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kennisgenomen van de </w:t>
      </w:r>
      <w:r w:rsidR="007C4F1F">
        <w:rPr>
          <w:rFonts w:ascii="Arial" w:eastAsia="Times New Roman" w:hAnsi="Arial" w:cs="Times New Roman"/>
          <w:sz w:val="20"/>
          <w:szCs w:val="24"/>
        </w:rPr>
        <w:t xml:space="preserve">inschrijving </w:t>
      </w: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>“&lt;Projectnaam&gt;”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in het kader van de </w:t>
      </w:r>
      <w:r w:rsidR="007C4F1F">
        <w:rPr>
          <w:rFonts w:ascii="Arial" w:eastAsia="Times New Roman" w:hAnsi="Arial" w:cs="Times New Roman"/>
          <w:sz w:val="20"/>
          <w:szCs w:val="24"/>
        </w:rPr>
        <w:t>r</w:t>
      </w:r>
      <w:r w:rsidRPr="00DA30F5">
        <w:rPr>
          <w:rFonts w:ascii="Arial" w:eastAsia="Times New Roman" w:hAnsi="Arial" w:cs="Times New Roman"/>
          <w:sz w:val="20"/>
          <w:szCs w:val="24"/>
        </w:rPr>
        <w:t>egeling ‘</w:t>
      </w:r>
      <w:r w:rsidR="007C4F1F">
        <w:rPr>
          <w:rFonts w:ascii="Arial" w:eastAsia="Times New Roman" w:hAnsi="Arial" w:cs="Times New Roman"/>
          <w:sz w:val="20"/>
          <w:szCs w:val="24"/>
        </w:rPr>
        <w:t>Versnellen met edusources’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van </w:t>
      </w:r>
      <w:r w:rsidR="007C4F1F">
        <w:rPr>
          <w:rFonts w:ascii="Arial" w:eastAsia="Times New Roman" w:hAnsi="Arial" w:cs="Times New Roman"/>
          <w:sz w:val="20"/>
          <w:szCs w:val="24"/>
        </w:rPr>
        <w:t>de</w:t>
      </w:r>
      <w:r w:rsidRPr="00DA30F5">
        <w:rPr>
          <w:rFonts w:ascii="Arial" w:eastAsia="Times New Roman" w:hAnsi="Arial" w:cs="Times New Roman"/>
          <w:sz w:val="20"/>
          <w:szCs w:val="24"/>
        </w:rPr>
        <w:t xml:space="preserve"> </w:t>
      </w:r>
      <w:r w:rsidR="007C4F1F">
        <w:rPr>
          <w:rFonts w:ascii="Arial" w:eastAsia="Times New Roman" w:hAnsi="Arial" w:cs="Times New Roman"/>
          <w:sz w:val="20"/>
          <w:szCs w:val="24"/>
        </w:rPr>
        <w:t>Versnellingszone ‘Naar (open) digitale leermaterialen’</w:t>
      </w:r>
      <w:r w:rsidR="00CC3EC8">
        <w:rPr>
          <w:rFonts w:ascii="Arial" w:eastAsia="Times New Roman" w:hAnsi="Arial" w:cs="Times New Roman"/>
          <w:sz w:val="20"/>
          <w:szCs w:val="24"/>
        </w:rPr>
        <w:t xml:space="preserve"> en dat</w:t>
      </w:r>
      <w:r w:rsidR="002A5FEA">
        <w:rPr>
          <w:rFonts w:ascii="Arial" w:eastAsia="Times New Roman" w:hAnsi="Arial" w:cs="Times New Roman"/>
          <w:sz w:val="20"/>
          <w:szCs w:val="24"/>
        </w:rPr>
        <w:t>:</w:t>
      </w:r>
    </w:p>
    <w:p w14:paraId="3F87F1CE" w14:textId="67512192" w:rsidR="001F3294" w:rsidRDefault="00D34226" w:rsidP="002A5FEA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 w:rsidRPr="002A5FEA">
        <w:rPr>
          <w:rFonts w:ascii="Arial" w:hAnsi="Arial"/>
          <w:sz w:val="20"/>
        </w:rPr>
        <w:t>d</w:t>
      </w:r>
      <w:r w:rsidR="007C4F1F" w:rsidRPr="002A5FEA">
        <w:rPr>
          <w:rFonts w:ascii="Arial" w:hAnsi="Arial"/>
          <w:sz w:val="20"/>
        </w:rPr>
        <w:t xml:space="preserve">e </w:t>
      </w:r>
      <w:r w:rsidR="007804D7">
        <w:rPr>
          <w:rFonts w:ascii="Arial" w:hAnsi="Arial"/>
          <w:sz w:val="20"/>
        </w:rPr>
        <w:t xml:space="preserve">edusources </w:t>
      </w:r>
      <w:r w:rsidR="007C4F1F" w:rsidRPr="002A5FEA">
        <w:rPr>
          <w:rFonts w:ascii="Arial" w:hAnsi="Arial"/>
          <w:sz w:val="20"/>
        </w:rPr>
        <w:t xml:space="preserve">campus- of samenwerkingslicentie </w:t>
      </w:r>
      <w:r w:rsidR="001F3294">
        <w:rPr>
          <w:rFonts w:ascii="Arial" w:hAnsi="Arial"/>
          <w:sz w:val="20"/>
        </w:rPr>
        <w:t>incl</w:t>
      </w:r>
      <w:r w:rsidR="00642D8D">
        <w:rPr>
          <w:rFonts w:ascii="Arial" w:hAnsi="Arial"/>
          <w:sz w:val="20"/>
        </w:rPr>
        <w:t>usief</w:t>
      </w:r>
      <w:r w:rsidR="001F3294">
        <w:rPr>
          <w:rFonts w:ascii="Arial" w:hAnsi="Arial"/>
          <w:sz w:val="20"/>
        </w:rPr>
        <w:t xml:space="preserve"> verwerkersovereenkomst </w:t>
      </w:r>
      <w:r w:rsidR="007C4F1F" w:rsidRPr="002A5FEA">
        <w:rPr>
          <w:rFonts w:ascii="Arial" w:hAnsi="Arial"/>
          <w:sz w:val="20"/>
        </w:rPr>
        <w:t xml:space="preserve">voor de looptijd van 1 jaar binnen afzienbare tijd na start looptijd regeling </w:t>
      </w:r>
      <w:r w:rsidR="00C623D4">
        <w:rPr>
          <w:rFonts w:ascii="Arial" w:hAnsi="Arial"/>
          <w:sz w:val="20"/>
        </w:rPr>
        <w:t>zal worden ondertekend</w:t>
      </w:r>
      <w:r w:rsidR="001F3294">
        <w:rPr>
          <w:rFonts w:ascii="Arial" w:hAnsi="Arial"/>
          <w:sz w:val="20"/>
        </w:rPr>
        <w:t xml:space="preserve"> door tekenbevoegde</w:t>
      </w:r>
      <w:r w:rsidR="00942652">
        <w:rPr>
          <w:rFonts w:ascii="Arial" w:hAnsi="Arial"/>
          <w:sz w:val="20"/>
        </w:rPr>
        <w:t xml:space="preserve"> van deelnemende instelling en partnerinstellingen</w:t>
      </w:r>
      <w:r w:rsidR="001F3294">
        <w:rPr>
          <w:rFonts w:ascii="Arial" w:hAnsi="Arial"/>
          <w:sz w:val="20"/>
        </w:rPr>
        <w:t xml:space="preserve">. </w:t>
      </w:r>
    </w:p>
    <w:p w14:paraId="07843360" w14:textId="11FC7CB1" w:rsidR="007C4F1F" w:rsidRPr="002A5FEA" w:rsidRDefault="00CC3EC8" w:rsidP="002A5FEA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C623D4">
        <w:rPr>
          <w:rFonts w:ascii="Arial" w:hAnsi="Arial"/>
          <w:sz w:val="20"/>
        </w:rPr>
        <w:t xml:space="preserve">e betrokken instellingen </w:t>
      </w:r>
      <w:r>
        <w:rPr>
          <w:rFonts w:ascii="Arial" w:hAnsi="Arial"/>
          <w:sz w:val="20"/>
        </w:rPr>
        <w:t xml:space="preserve">de intentie hebben </w:t>
      </w:r>
      <w:r w:rsidR="00C623D4">
        <w:rPr>
          <w:rFonts w:ascii="Arial" w:hAnsi="Arial"/>
          <w:sz w:val="20"/>
        </w:rPr>
        <w:t>h</w:t>
      </w:r>
      <w:r w:rsidR="007C4F1F" w:rsidRPr="002A5FEA">
        <w:rPr>
          <w:rFonts w:ascii="Arial" w:hAnsi="Arial"/>
          <w:sz w:val="20"/>
        </w:rPr>
        <w:t xml:space="preserve">et gebruik </w:t>
      </w:r>
      <w:r>
        <w:rPr>
          <w:rFonts w:ascii="Arial" w:hAnsi="Arial"/>
          <w:sz w:val="20"/>
        </w:rPr>
        <w:t xml:space="preserve">van </w:t>
      </w:r>
      <w:r w:rsidR="007C4F1F" w:rsidRPr="002A5FEA">
        <w:rPr>
          <w:rFonts w:ascii="Arial" w:hAnsi="Arial"/>
          <w:sz w:val="20"/>
        </w:rPr>
        <w:t xml:space="preserve">edusources </w:t>
      </w:r>
      <w:r>
        <w:rPr>
          <w:rFonts w:ascii="Arial" w:hAnsi="Arial"/>
          <w:sz w:val="20"/>
        </w:rPr>
        <w:t>te</w:t>
      </w:r>
      <w:r w:rsidR="00D81FB1" w:rsidRPr="002A5FEA">
        <w:rPr>
          <w:rFonts w:ascii="Arial" w:hAnsi="Arial"/>
          <w:sz w:val="20"/>
        </w:rPr>
        <w:t xml:space="preserve"> </w:t>
      </w:r>
      <w:r w:rsidR="007C4F1F" w:rsidRPr="002A5FEA">
        <w:rPr>
          <w:rFonts w:ascii="Arial" w:hAnsi="Arial"/>
          <w:sz w:val="20"/>
        </w:rPr>
        <w:t xml:space="preserve">continueren na afloop van het gefinancierde eerste jaar </w:t>
      </w:r>
    </w:p>
    <w:p w14:paraId="176680F1" w14:textId="4192E403" w:rsidR="007804D7" w:rsidRPr="007804D7" w:rsidRDefault="007C4F1F" w:rsidP="007804D7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 w:rsidRPr="002A5FEA">
        <w:rPr>
          <w:rFonts w:ascii="Arial" w:hAnsi="Arial"/>
          <w:sz w:val="20"/>
        </w:rPr>
        <w:t xml:space="preserve">de benodigde tijd en middelen </w:t>
      </w:r>
      <w:r w:rsidR="007804D7">
        <w:rPr>
          <w:rFonts w:ascii="Arial" w:hAnsi="Arial"/>
          <w:sz w:val="20"/>
        </w:rPr>
        <w:t xml:space="preserve">binnen de eigen instellingen </w:t>
      </w:r>
      <w:r w:rsidRPr="002A5FEA">
        <w:rPr>
          <w:rFonts w:ascii="Arial" w:hAnsi="Arial"/>
          <w:sz w:val="20"/>
        </w:rPr>
        <w:t xml:space="preserve">vrij </w:t>
      </w:r>
      <w:r w:rsidR="00CC3EC8">
        <w:rPr>
          <w:rFonts w:ascii="Arial" w:hAnsi="Arial"/>
          <w:sz w:val="20"/>
        </w:rPr>
        <w:t>gemaakt worden</w:t>
      </w:r>
      <w:r w:rsidRPr="002A5FEA">
        <w:rPr>
          <w:rFonts w:ascii="Arial" w:hAnsi="Arial"/>
          <w:sz w:val="20"/>
        </w:rPr>
        <w:t xml:space="preserve"> </w:t>
      </w:r>
      <w:r w:rsidR="007804D7">
        <w:rPr>
          <w:rFonts w:ascii="Arial" w:hAnsi="Arial"/>
          <w:sz w:val="20"/>
        </w:rPr>
        <w:t xml:space="preserve">én de benodigde tijd en middelen vanuit partnerinstellingen </w:t>
      </w:r>
      <w:r w:rsidR="00CC3EC8">
        <w:rPr>
          <w:rFonts w:ascii="Arial" w:hAnsi="Arial"/>
          <w:sz w:val="20"/>
        </w:rPr>
        <w:t>afgestemd en geborgd is</w:t>
      </w:r>
      <w:r w:rsidR="00C623D4">
        <w:rPr>
          <w:rFonts w:ascii="Arial" w:hAnsi="Arial"/>
          <w:sz w:val="20"/>
        </w:rPr>
        <w:t xml:space="preserve"> </w:t>
      </w:r>
      <w:r w:rsidR="007804D7" w:rsidRPr="002A5FEA">
        <w:rPr>
          <w:rFonts w:ascii="Arial" w:hAnsi="Arial"/>
          <w:sz w:val="20"/>
        </w:rPr>
        <w:t>om de bij inschrijving geschetste instellings- c.q. communityaanpak te realiseren</w:t>
      </w:r>
      <w:r w:rsidR="00CC3EC8">
        <w:rPr>
          <w:rFonts w:ascii="Arial" w:hAnsi="Arial"/>
          <w:sz w:val="20"/>
        </w:rPr>
        <w:t>.</w:t>
      </w:r>
    </w:p>
    <w:p w14:paraId="4D440E9E" w14:textId="5CA18509" w:rsidR="007804D7" w:rsidRDefault="00D34226" w:rsidP="007804D7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 w:rsidRPr="002A5FEA">
        <w:rPr>
          <w:rFonts w:ascii="Arial" w:hAnsi="Arial"/>
          <w:sz w:val="20"/>
        </w:rPr>
        <w:t xml:space="preserve">de instelling c.q. community een </w:t>
      </w:r>
      <w:r w:rsidR="007C4F1F" w:rsidRPr="002A5FEA">
        <w:rPr>
          <w:rFonts w:ascii="Arial" w:hAnsi="Arial"/>
          <w:sz w:val="20"/>
        </w:rPr>
        <w:t xml:space="preserve">actieve rol </w:t>
      </w:r>
      <w:r w:rsidR="00CC3EC8">
        <w:rPr>
          <w:rFonts w:ascii="Arial" w:hAnsi="Arial"/>
          <w:sz w:val="20"/>
        </w:rPr>
        <w:t>zal</w:t>
      </w:r>
      <w:r w:rsidR="007C4F1F" w:rsidRPr="002A5FEA">
        <w:rPr>
          <w:rFonts w:ascii="Arial" w:hAnsi="Arial"/>
          <w:sz w:val="20"/>
        </w:rPr>
        <w:t xml:space="preserve"> vervullen binnen de learning</w:t>
      </w:r>
      <w:r w:rsidR="00D81FB1" w:rsidRPr="002A5FEA">
        <w:rPr>
          <w:rFonts w:ascii="Arial" w:hAnsi="Arial"/>
          <w:sz w:val="20"/>
        </w:rPr>
        <w:t xml:space="preserve"> </w:t>
      </w:r>
      <w:r w:rsidR="007C4F1F" w:rsidRPr="002A5FEA">
        <w:rPr>
          <w:rFonts w:ascii="Arial" w:hAnsi="Arial"/>
          <w:sz w:val="20"/>
        </w:rPr>
        <w:t>community en gedure</w:t>
      </w:r>
      <w:r w:rsidR="00D81FB1" w:rsidRPr="002A5FEA">
        <w:rPr>
          <w:rFonts w:ascii="Arial" w:hAnsi="Arial"/>
          <w:sz w:val="20"/>
        </w:rPr>
        <w:t xml:space="preserve">nde de looptijd van de regeling. Deelnemer vervult </w:t>
      </w:r>
      <w:r w:rsidR="007C4F1F" w:rsidRPr="002A5FEA">
        <w:rPr>
          <w:rFonts w:ascii="Arial" w:hAnsi="Arial"/>
          <w:sz w:val="20"/>
        </w:rPr>
        <w:t>ofwel de buddy rol voor</w:t>
      </w:r>
      <w:r w:rsidR="00D81FB1" w:rsidRPr="002A5FEA">
        <w:rPr>
          <w:rFonts w:ascii="Arial" w:hAnsi="Arial"/>
          <w:sz w:val="20"/>
        </w:rPr>
        <w:t xml:space="preserve"> de 2e lichting deelnemers of levert</w:t>
      </w:r>
      <w:r w:rsidR="007C4F1F" w:rsidRPr="002A5FEA">
        <w:rPr>
          <w:rFonts w:ascii="Arial" w:hAnsi="Arial"/>
          <w:sz w:val="20"/>
        </w:rPr>
        <w:t xml:space="preserve"> expertise aan het nog</w:t>
      </w:r>
      <w:r w:rsidR="007C4F1F" w:rsidRPr="001F3294">
        <w:rPr>
          <w:rFonts w:ascii="Arial" w:hAnsi="Arial"/>
          <w:sz w:val="20"/>
        </w:rPr>
        <w:t xml:space="preserve"> in te richten </w:t>
      </w:r>
      <w:r w:rsidR="007804D7">
        <w:rPr>
          <w:rFonts w:ascii="Arial" w:hAnsi="Arial"/>
          <w:sz w:val="20"/>
        </w:rPr>
        <w:t>landelijke ondersteuningsloket.</w:t>
      </w:r>
    </w:p>
    <w:p w14:paraId="63469C34" w14:textId="7EA444E3" w:rsidR="006138D5" w:rsidRPr="007804D7" w:rsidRDefault="007804D7" w:rsidP="007804D7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 w:rsidRPr="007804D7">
        <w:rPr>
          <w:rFonts w:ascii="Arial" w:hAnsi="Arial"/>
          <w:sz w:val="20"/>
        </w:rPr>
        <w:t xml:space="preserve">de penvoerende instelling </w:t>
      </w:r>
      <w:r w:rsidR="00CC3EC8">
        <w:rPr>
          <w:rFonts w:ascii="Arial" w:hAnsi="Arial"/>
          <w:sz w:val="20"/>
        </w:rPr>
        <w:t xml:space="preserve">van een samenwerkingsverband </w:t>
      </w:r>
      <w:r w:rsidRPr="007804D7">
        <w:rPr>
          <w:rFonts w:ascii="Arial" w:hAnsi="Arial"/>
          <w:sz w:val="20"/>
        </w:rPr>
        <w:t xml:space="preserve">gemachtigd is </w:t>
      </w:r>
      <w:r>
        <w:rPr>
          <w:rFonts w:ascii="Arial" w:hAnsi="Arial"/>
          <w:sz w:val="20"/>
        </w:rPr>
        <w:t>door</w:t>
      </w:r>
      <w:r w:rsidRPr="007804D7">
        <w:rPr>
          <w:rFonts w:ascii="Arial" w:hAnsi="Arial"/>
          <w:sz w:val="20"/>
        </w:rPr>
        <w:t xml:space="preserve"> </w:t>
      </w:r>
      <w:r w:rsidR="00CC3EC8">
        <w:rPr>
          <w:rFonts w:ascii="Arial" w:hAnsi="Arial"/>
          <w:sz w:val="20"/>
        </w:rPr>
        <w:t xml:space="preserve">de </w:t>
      </w:r>
      <w:r w:rsidRPr="007804D7">
        <w:rPr>
          <w:rFonts w:ascii="Arial" w:hAnsi="Arial"/>
          <w:sz w:val="20"/>
        </w:rPr>
        <w:t xml:space="preserve">partnerinstellingen </w:t>
      </w:r>
      <w:r>
        <w:rPr>
          <w:rFonts w:ascii="Arial" w:hAnsi="Arial"/>
          <w:sz w:val="20"/>
        </w:rPr>
        <w:t xml:space="preserve">om het samenwerkingsverband </w:t>
      </w:r>
      <w:r w:rsidRPr="007804D7">
        <w:rPr>
          <w:rFonts w:ascii="Arial" w:hAnsi="Arial"/>
          <w:sz w:val="20"/>
        </w:rPr>
        <w:t xml:space="preserve">in het kader van dit project te vertegenwoordigen. </w:t>
      </w:r>
    </w:p>
    <w:p w14:paraId="0BBEA629" w14:textId="278BCF2E" w:rsidR="00DA30F5" w:rsidRPr="00DA30F5" w:rsidRDefault="00DA30F5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2BF931D6" w14:textId="77777777" w:rsidR="00DA30F5" w:rsidRPr="00DA30F5" w:rsidRDefault="00DA30F5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>&lt;... handtekening …&gt;</w:t>
      </w:r>
      <w:bookmarkStart w:id="0" w:name="_GoBack"/>
      <w:bookmarkEnd w:id="0"/>
    </w:p>
    <w:p w14:paraId="31BE19BD" w14:textId="2CA90354" w:rsidR="00DA30F5" w:rsidRPr="00DA30F5" w:rsidRDefault="00DA30F5" w:rsidP="00DA30F5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 xml:space="preserve">&lt;titel &amp; naam </w:t>
      </w:r>
      <w:r w:rsidR="00D81FB1">
        <w:rPr>
          <w:rFonts w:ascii="Arial" w:eastAsia="Times New Roman" w:hAnsi="Arial" w:cs="Times New Roman"/>
          <w:sz w:val="20"/>
          <w:szCs w:val="24"/>
          <w:highlight w:val="yellow"/>
        </w:rPr>
        <w:t>tekenbevoegde</w:t>
      </w:r>
      <w:r w:rsidRPr="00DA30F5">
        <w:rPr>
          <w:rFonts w:ascii="Arial" w:eastAsia="Times New Roman" w:hAnsi="Arial" w:cs="Times New Roman"/>
          <w:sz w:val="20"/>
          <w:szCs w:val="24"/>
          <w:highlight w:val="yellow"/>
        </w:rPr>
        <w:t xml:space="preserve"> &gt;</w:t>
      </w:r>
    </w:p>
    <w:p w14:paraId="1EAD92B7" w14:textId="77777777" w:rsidR="00DA30F5" w:rsidRPr="00DA30F5" w:rsidRDefault="00DA30F5" w:rsidP="00DA30F5">
      <w:pPr>
        <w:spacing w:after="26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03E23BA5" w14:textId="77777777" w:rsidR="00F900F8" w:rsidRDefault="00F900F8"/>
    <w:sectPr w:rsidR="00F900F8" w:rsidSect="00180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F7F8" w14:textId="77777777" w:rsidR="00237252" w:rsidRDefault="00237252">
      <w:pPr>
        <w:spacing w:after="0" w:line="240" w:lineRule="auto"/>
      </w:pPr>
      <w:r>
        <w:separator/>
      </w:r>
    </w:p>
  </w:endnote>
  <w:endnote w:type="continuationSeparator" w:id="0">
    <w:p w14:paraId="37A190E8" w14:textId="77777777" w:rsidR="00237252" w:rsidRDefault="0023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D1EC" w14:textId="77777777" w:rsidR="00A43AEE" w:rsidRDefault="00237252" w:rsidP="00A43AEE">
    <w:pPr>
      <w:pStyle w:val="Footer"/>
      <w:jc w:val="right"/>
    </w:pPr>
  </w:p>
  <w:p w14:paraId="543D1211" w14:textId="279D5C76" w:rsidR="00A43AEE" w:rsidRPr="00067402" w:rsidRDefault="00D34226" w:rsidP="00A43AEE">
    <w:pPr>
      <w:pStyle w:val="Footer"/>
      <w:tabs>
        <w:tab w:val="clear" w:pos="4536"/>
      </w:tabs>
      <w:jc w:val="right"/>
      <w:rPr>
        <w:sz w:val="17"/>
        <w:szCs w:val="17"/>
      </w:rPr>
    </w:pPr>
    <w:r w:rsidRPr="00067402">
      <w:rPr>
        <w:sz w:val="17"/>
        <w:szCs w:val="17"/>
      </w:rPr>
      <w:tab/>
    </w:r>
    <w:sdt>
      <w:sdtPr>
        <w:rPr>
          <w:sz w:val="17"/>
          <w:szCs w:val="17"/>
        </w:rPr>
        <w:id w:val="1309435258"/>
        <w:docPartObj>
          <w:docPartGallery w:val="Page Numbers (Bottom of Page)"/>
          <w:docPartUnique/>
        </w:docPartObj>
      </w:sdtPr>
      <w:sdtEndPr/>
      <w:sdtContent>
        <w:r w:rsidRPr="00067402">
          <w:rPr>
            <w:sz w:val="17"/>
            <w:szCs w:val="17"/>
          </w:rPr>
          <w:fldChar w:fldCharType="begin"/>
        </w:r>
        <w:r w:rsidRPr="00067402">
          <w:rPr>
            <w:sz w:val="17"/>
            <w:szCs w:val="17"/>
          </w:rPr>
          <w:instrText>PAGE   \* MERGEFORMAT</w:instrText>
        </w:r>
        <w:r w:rsidRPr="00067402">
          <w:rPr>
            <w:sz w:val="17"/>
            <w:szCs w:val="17"/>
          </w:rPr>
          <w:fldChar w:fldCharType="separate"/>
        </w:r>
        <w:r w:rsidR="00942652">
          <w:rPr>
            <w:noProof/>
            <w:sz w:val="17"/>
            <w:szCs w:val="17"/>
          </w:rPr>
          <w:t>1</w:t>
        </w:r>
        <w:r w:rsidRPr="00067402">
          <w:rPr>
            <w:sz w:val="17"/>
            <w:szCs w:val="17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847F4" w14:textId="77777777" w:rsidR="00237252" w:rsidRDefault="00237252">
      <w:pPr>
        <w:spacing w:after="0" w:line="240" w:lineRule="auto"/>
      </w:pPr>
      <w:r>
        <w:separator/>
      </w:r>
    </w:p>
  </w:footnote>
  <w:footnote w:type="continuationSeparator" w:id="0">
    <w:p w14:paraId="41EA8EFE" w14:textId="77777777" w:rsidR="00237252" w:rsidRDefault="0023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A9B"/>
    <w:multiLevelType w:val="hybridMultilevel"/>
    <w:tmpl w:val="CE6A3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629C"/>
    <w:multiLevelType w:val="hybridMultilevel"/>
    <w:tmpl w:val="6C6A969C"/>
    <w:lvl w:ilvl="0" w:tplc="44CEE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6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A2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D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2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4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9C60E3"/>
    <w:multiLevelType w:val="hybridMultilevel"/>
    <w:tmpl w:val="53F4104C"/>
    <w:lvl w:ilvl="0" w:tplc="9152A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E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E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8B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0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2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F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7275A1"/>
    <w:multiLevelType w:val="hybridMultilevel"/>
    <w:tmpl w:val="09E27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F5"/>
    <w:rsid w:val="001F3294"/>
    <w:rsid w:val="00237252"/>
    <w:rsid w:val="00246052"/>
    <w:rsid w:val="002A5FEA"/>
    <w:rsid w:val="00555B02"/>
    <w:rsid w:val="006138D5"/>
    <w:rsid w:val="00642D8D"/>
    <w:rsid w:val="0068347E"/>
    <w:rsid w:val="006B5976"/>
    <w:rsid w:val="007804D7"/>
    <w:rsid w:val="007C4F1F"/>
    <w:rsid w:val="0084327E"/>
    <w:rsid w:val="009015FC"/>
    <w:rsid w:val="00942652"/>
    <w:rsid w:val="00B06C16"/>
    <w:rsid w:val="00C623D4"/>
    <w:rsid w:val="00CC3EC8"/>
    <w:rsid w:val="00D34226"/>
    <w:rsid w:val="00D81FB1"/>
    <w:rsid w:val="00DA30F5"/>
    <w:rsid w:val="00E210D4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14E4"/>
  <w15:chartTrackingRefBased/>
  <w15:docId w15:val="{FED29EC7-253A-427F-BA88-D56CC56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0F5"/>
  </w:style>
  <w:style w:type="character" w:styleId="CommentReference">
    <w:name w:val="annotation reference"/>
    <w:basedOn w:val="DefaultParagraphFont"/>
    <w:uiPriority w:val="99"/>
    <w:semiHidden/>
    <w:unhideWhenUsed/>
    <w:rsid w:val="007C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C4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60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7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74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38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16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57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2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de Werk</dc:creator>
  <cp:keywords/>
  <dc:description/>
  <cp:lastModifiedBy>Jenny de Werk</cp:lastModifiedBy>
  <cp:revision>2</cp:revision>
  <dcterms:created xsi:type="dcterms:W3CDTF">2021-04-29T11:11:00Z</dcterms:created>
  <dcterms:modified xsi:type="dcterms:W3CDTF">2021-04-29T11:11:00Z</dcterms:modified>
</cp:coreProperties>
</file>